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rsidR="00FE5009" w:rsidRDefault="00FE5009" w:rsidP="04B760D4">
      <w:pPr>
        <w:pStyle w:val="Heading3"/>
        <w:rPr>
          <w:rFonts w:eastAsiaTheme="majorEastAsia" w:cs="Arial"/>
          <w:color w:val="005EB8" w:themeColor="text1"/>
          <w:sz w:val="40"/>
          <w:szCs w:val="40"/>
        </w:rPr>
      </w:pPr>
      <w:r w:rsidRPr="04B760D4">
        <w:rPr>
          <w:rFonts w:eastAsiaTheme="majorEastAsia" w:cs="Arial"/>
          <w:color w:val="005EB8" w:themeColor="accent4"/>
          <w:sz w:val="40"/>
          <w:szCs w:val="40"/>
        </w:rPr>
        <w:t xml:space="preserve">Handling Medicines Safely for </w:t>
      </w:r>
      <w:r w:rsidR="6A722187" w:rsidRPr="04B760D4">
        <w:rPr>
          <w:rFonts w:eastAsiaTheme="majorEastAsia" w:cs="Arial"/>
          <w:color w:val="005EB8" w:themeColor="accent4"/>
          <w:sz w:val="40"/>
          <w:szCs w:val="40"/>
        </w:rPr>
        <w:t xml:space="preserve">Adult </w:t>
      </w:r>
      <w:r w:rsidRPr="04B760D4">
        <w:rPr>
          <w:rFonts w:eastAsiaTheme="majorEastAsia" w:cs="Arial"/>
          <w:color w:val="005EB8" w:themeColor="accent4"/>
          <w:sz w:val="40"/>
          <w:szCs w:val="40"/>
        </w:rPr>
        <w:t>Social Care Staff</w:t>
      </w:r>
    </w:p>
    <w:p w:rsidR="0088174C" w:rsidRDefault="0088174C" w:rsidP="003220AF">
      <w:pPr>
        <w:pStyle w:val="Heading3"/>
        <w:spacing w:before="120" w:after="120" w:afterAutospacing="0"/>
        <w:contextualSpacing/>
      </w:pPr>
      <w:r w:rsidRPr="0088174C">
        <w:t xml:space="preserve">Do you need to know more about </w:t>
      </w:r>
      <w:r w:rsidR="00FE5009">
        <w:t xml:space="preserve">managing and administering </w:t>
      </w:r>
      <w:r w:rsidRPr="0088174C">
        <w:t xml:space="preserve">medicines? </w:t>
      </w:r>
    </w:p>
    <w:p w:rsidR="00666C81" w:rsidRPr="00B6741B" w:rsidRDefault="00666C81" w:rsidP="003220AF">
      <w:pPr>
        <w:spacing w:before="120" w:after="120"/>
        <w:contextualSpacing/>
        <w:rPr>
          <w:sz w:val="22"/>
          <w:szCs w:val="22"/>
        </w:rPr>
      </w:pPr>
      <w:r w:rsidRPr="00B6741B">
        <w:rPr>
          <w:sz w:val="22"/>
          <w:szCs w:val="22"/>
        </w:rPr>
        <w:t>Try our M</w:t>
      </w:r>
      <w:r w:rsidR="00FE5009" w:rsidRPr="00B6741B">
        <w:rPr>
          <w:sz w:val="22"/>
          <w:szCs w:val="22"/>
        </w:rPr>
        <w:t xml:space="preserve">anagement and Administration of </w:t>
      </w:r>
      <w:r w:rsidR="00931123" w:rsidRPr="00B6741B">
        <w:rPr>
          <w:sz w:val="22"/>
          <w:szCs w:val="22"/>
        </w:rPr>
        <w:t>M</w:t>
      </w:r>
      <w:r w:rsidR="00FE5009" w:rsidRPr="00B6741B">
        <w:rPr>
          <w:sz w:val="22"/>
          <w:szCs w:val="22"/>
        </w:rPr>
        <w:t xml:space="preserve">edicines eLearning </w:t>
      </w:r>
      <w:r w:rsidRPr="00B6741B">
        <w:rPr>
          <w:sz w:val="22"/>
          <w:szCs w:val="22"/>
        </w:rPr>
        <w:t xml:space="preserve">Modules which </w:t>
      </w:r>
      <w:r w:rsidR="00FE5009" w:rsidRPr="00B6741B">
        <w:rPr>
          <w:sz w:val="22"/>
          <w:szCs w:val="22"/>
        </w:rPr>
        <w:t xml:space="preserve">focus on the knowledge and skills necessary to handle and administer medicines safely. If you </w:t>
      </w:r>
      <w:r w:rsidR="00DA1D13">
        <w:rPr>
          <w:sz w:val="22"/>
          <w:szCs w:val="22"/>
        </w:rPr>
        <w:t>work</w:t>
      </w:r>
      <w:r w:rsidR="00FE5009" w:rsidRPr="00B6741B">
        <w:rPr>
          <w:sz w:val="22"/>
          <w:szCs w:val="22"/>
        </w:rPr>
        <w:t xml:space="preserve"> in a health and social care environment, and support people with their medicines, either in their own home or in nursing or residential care settings, then you should find this e-learning useful.</w:t>
      </w:r>
      <w:r w:rsidR="00EB5413" w:rsidRPr="00B6741B">
        <w:rPr>
          <w:sz w:val="22"/>
          <w:szCs w:val="22"/>
        </w:rPr>
        <w:t xml:space="preserve"> </w:t>
      </w:r>
    </w:p>
    <w:p w:rsidR="00666C81" w:rsidRPr="00B41379" w:rsidRDefault="00666C81" w:rsidP="005936A4">
      <w:pPr>
        <w:rPr>
          <w:sz w:val="8"/>
          <w:szCs w:val="8"/>
        </w:rPr>
      </w:pPr>
    </w:p>
    <w:p w:rsidR="00666C81" w:rsidRPr="00B6741B" w:rsidRDefault="00AE09B3" w:rsidP="00B6741B">
      <w:pPr>
        <w:ind w:left="284"/>
        <w:rPr>
          <w:sz w:val="22"/>
          <w:szCs w:val="22"/>
        </w:rPr>
      </w:pPr>
      <w:r w:rsidRPr="00B6741B">
        <w:rPr>
          <w:sz w:val="22"/>
          <w:szCs w:val="22"/>
        </w:rPr>
        <w:t>Mod</w:t>
      </w:r>
      <w:r w:rsidR="00AA447F" w:rsidRPr="00B6741B">
        <w:rPr>
          <w:sz w:val="22"/>
          <w:szCs w:val="22"/>
        </w:rPr>
        <w:t xml:space="preserve">ule 1: </w:t>
      </w:r>
      <w:r w:rsidR="00FE5009" w:rsidRPr="00B6741B">
        <w:rPr>
          <w:sz w:val="22"/>
          <w:szCs w:val="22"/>
        </w:rPr>
        <w:t>Introduction to Handling Medicines Safely</w:t>
      </w:r>
      <w:r w:rsidR="00666C81" w:rsidRPr="00B6741B">
        <w:rPr>
          <w:sz w:val="22"/>
          <w:szCs w:val="22"/>
        </w:rPr>
        <w:t xml:space="preserve"> </w:t>
      </w:r>
    </w:p>
    <w:p w:rsidR="00666C81" w:rsidRPr="00B6741B" w:rsidRDefault="00AA447F" w:rsidP="00B6741B">
      <w:pPr>
        <w:ind w:left="284"/>
        <w:rPr>
          <w:sz w:val="22"/>
          <w:szCs w:val="22"/>
        </w:rPr>
      </w:pPr>
      <w:r w:rsidRPr="00B6741B">
        <w:rPr>
          <w:sz w:val="22"/>
          <w:szCs w:val="22"/>
        </w:rPr>
        <w:t xml:space="preserve">Module 2: </w:t>
      </w:r>
      <w:r w:rsidR="00FE5009" w:rsidRPr="00B6741B">
        <w:rPr>
          <w:sz w:val="22"/>
          <w:szCs w:val="22"/>
        </w:rPr>
        <w:t>Administering Medication</w:t>
      </w:r>
    </w:p>
    <w:p w:rsidR="00666C81" w:rsidRPr="00B6741B" w:rsidRDefault="00AA447F" w:rsidP="00B6741B">
      <w:pPr>
        <w:ind w:left="284"/>
        <w:rPr>
          <w:sz w:val="22"/>
          <w:szCs w:val="22"/>
        </w:rPr>
      </w:pPr>
      <w:r w:rsidRPr="00B6741B">
        <w:rPr>
          <w:sz w:val="22"/>
          <w:szCs w:val="22"/>
        </w:rPr>
        <w:t xml:space="preserve">Module 3: </w:t>
      </w:r>
      <w:r w:rsidR="00FE5009" w:rsidRPr="00B6741B">
        <w:rPr>
          <w:sz w:val="22"/>
          <w:szCs w:val="22"/>
        </w:rPr>
        <w:t>Ordering, receiving, storing and disposal of medicines</w:t>
      </w:r>
    </w:p>
    <w:p w:rsidR="00666C81" w:rsidRPr="00B6741B" w:rsidRDefault="00AA447F" w:rsidP="00B6741B">
      <w:pPr>
        <w:ind w:left="284"/>
        <w:rPr>
          <w:sz w:val="22"/>
          <w:szCs w:val="22"/>
        </w:rPr>
      </w:pPr>
      <w:r w:rsidRPr="00B6741B">
        <w:rPr>
          <w:sz w:val="22"/>
          <w:szCs w:val="22"/>
        </w:rPr>
        <w:t xml:space="preserve">Module 4: </w:t>
      </w:r>
      <w:r w:rsidR="00FE5009" w:rsidRPr="00B6741B">
        <w:rPr>
          <w:sz w:val="22"/>
          <w:szCs w:val="22"/>
        </w:rPr>
        <w:t>Understanding Medicines</w:t>
      </w:r>
    </w:p>
    <w:p w:rsidR="00666C81" w:rsidRPr="00B41379" w:rsidRDefault="00666C81" w:rsidP="005936A4">
      <w:pPr>
        <w:rPr>
          <w:sz w:val="8"/>
          <w:szCs w:val="8"/>
        </w:rPr>
      </w:pPr>
    </w:p>
    <w:p w:rsidR="00666C81" w:rsidRPr="00B6741B" w:rsidRDefault="00666C81" w:rsidP="00666C81">
      <w:pPr>
        <w:rPr>
          <w:sz w:val="22"/>
          <w:szCs w:val="22"/>
        </w:rPr>
      </w:pPr>
      <w:r w:rsidRPr="00B6741B">
        <w:rPr>
          <w:sz w:val="22"/>
          <w:szCs w:val="22"/>
        </w:rPr>
        <w:t xml:space="preserve">These have been designed especially for you, so that you can access this learning free of charge, from any </w:t>
      </w:r>
      <w:r w:rsidR="00BC39A2" w:rsidRPr="00B6741B">
        <w:rPr>
          <w:sz w:val="22"/>
          <w:szCs w:val="22"/>
        </w:rPr>
        <w:t>PC</w:t>
      </w:r>
      <w:r w:rsidRPr="00B6741B">
        <w:rPr>
          <w:sz w:val="22"/>
          <w:szCs w:val="22"/>
        </w:rPr>
        <w:t xml:space="preserve"> or device and get a certificate of achievement to show you have completed the training</w:t>
      </w:r>
      <w:r w:rsidR="00AA447F" w:rsidRPr="00B6741B">
        <w:rPr>
          <w:sz w:val="22"/>
          <w:szCs w:val="22"/>
        </w:rPr>
        <w:t>.</w:t>
      </w:r>
    </w:p>
    <w:p w:rsidR="00B6741B" w:rsidRPr="004C6365" w:rsidRDefault="00B6741B" w:rsidP="00666C81">
      <w:pPr>
        <w:rPr>
          <w:sz w:val="16"/>
          <w:szCs w:val="16"/>
        </w:rPr>
      </w:pPr>
    </w:p>
    <w:p w:rsidR="00B6741B" w:rsidRDefault="00B6741B" w:rsidP="00B6741B">
      <w:pPr>
        <w:rPr>
          <w:b/>
          <w:bCs/>
          <w:color w:val="auto"/>
        </w:rPr>
      </w:pPr>
      <w:r w:rsidRPr="00B6741B">
        <w:rPr>
          <w:b/>
          <w:bCs/>
          <w:color w:val="auto"/>
        </w:rPr>
        <w:t>Informal carers</w:t>
      </w:r>
    </w:p>
    <w:p w:rsidR="00B6741B" w:rsidRPr="00B6741B" w:rsidRDefault="00B6741B" w:rsidP="00B6741B">
      <w:pPr>
        <w:rPr>
          <w:b/>
          <w:bCs/>
          <w:color w:val="auto"/>
          <w:sz w:val="10"/>
          <w:szCs w:val="10"/>
        </w:rPr>
      </w:pPr>
    </w:p>
    <w:p w:rsidR="00B6741B" w:rsidRPr="00B6741B" w:rsidRDefault="00B6741B" w:rsidP="00B6741B">
      <w:pPr>
        <w:rPr>
          <w:color w:val="auto"/>
          <w:sz w:val="22"/>
          <w:szCs w:val="22"/>
        </w:rPr>
      </w:pPr>
      <w:r w:rsidRPr="00B6741B">
        <w:rPr>
          <w:color w:val="auto"/>
          <w:sz w:val="22"/>
          <w:szCs w:val="22"/>
        </w:rPr>
        <w:t xml:space="preserve">The e-learning modules have been designed primarily to support social care staff. However, informal carers (for example unpaid carers helping a family member, neighbour, or friend) should find Module 2: Administering Medication useful. </w:t>
      </w:r>
    </w:p>
    <w:p w:rsidR="00666C81" w:rsidRPr="00B6741B" w:rsidRDefault="00666C81" w:rsidP="005936A4">
      <w:pPr>
        <w:rPr>
          <w:sz w:val="8"/>
          <w:szCs w:val="8"/>
        </w:rPr>
      </w:pPr>
    </w:p>
    <w:p w:rsidR="00F1711B" w:rsidRPr="00F86310" w:rsidRDefault="008B54EE" w:rsidP="003220AF">
      <w:pPr>
        <w:pStyle w:val="Heading3"/>
        <w:spacing w:before="120" w:after="120" w:afterAutospacing="0"/>
        <w:contextualSpacing/>
        <w:rPr>
          <w:szCs w:val="24"/>
        </w:rPr>
      </w:pPr>
      <w:bookmarkStart w:id="0" w:name="_Hlk158991614"/>
      <w:r w:rsidRPr="00F86310">
        <w:rPr>
          <w:szCs w:val="24"/>
        </w:rPr>
        <w:t>Finding our resources</w:t>
      </w:r>
    </w:p>
    <w:bookmarkEnd w:id="0"/>
    <w:p w:rsidR="00EA0904" w:rsidRPr="00EA0904" w:rsidRDefault="009C1E65" w:rsidP="00EA0904">
      <w:pPr>
        <w:spacing w:before="60" w:after="60"/>
      </w:pPr>
      <w:r>
        <w:t>Here is a l</w:t>
      </w:r>
      <w:r w:rsidR="00BB0C9A">
        <w:t xml:space="preserve">ink to </w:t>
      </w:r>
      <w:r w:rsidR="00DC459E">
        <w:t xml:space="preserve">the catalogue where you can find </w:t>
      </w:r>
      <w:r w:rsidR="00BB0C9A">
        <w:t xml:space="preserve">the modules: </w:t>
      </w:r>
      <w:hyperlink r:id="rId11" w:history="1">
        <w:r w:rsidR="00BB0C9A" w:rsidRPr="00BB0C9A">
          <w:rPr>
            <w:rStyle w:val="Hyperlink"/>
          </w:rPr>
          <w:t>Safe Management of Medicines for Social Care Staff</w:t>
        </w:r>
      </w:hyperlink>
      <w:r w:rsidR="00EA0904">
        <w:t xml:space="preserve"> </w:t>
      </w:r>
    </w:p>
    <w:p w:rsidR="00EA0904" w:rsidRPr="00E468F7" w:rsidRDefault="00E468F7" w:rsidP="00E468F7">
      <w:pPr>
        <w:spacing w:before="60" w:after="60"/>
        <w:rPr>
          <w:sz w:val="8"/>
          <w:szCs w:val="8"/>
        </w:rPr>
      </w:pPr>
      <w:r>
        <w:rPr>
          <w:noProof/>
        </w:rPr>
        <mc:AlternateContent>
          <mc:Choice Requires="wps">
            <w:drawing>
              <wp:anchor distT="0" distB="0" distL="114300" distR="114300" simplePos="0" relativeHeight="251660288" behindDoc="0" locked="0" layoutInCell="1" allowOverlap="1" wp14:anchorId="5D7D93FF" wp14:editId="10117F39">
                <wp:simplePos x="0" y="0"/>
                <wp:positionH relativeFrom="column">
                  <wp:posOffset>-64135</wp:posOffset>
                </wp:positionH>
                <wp:positionV relativeFrom="paragraph">
                  <wp:posOffset>101600</wp:posOffset>
                </wp:positionV>
                <wp:extent cx="2609850" cy="1492250"/>
                <wp:effectExtent l="0" t="0" r="0" b="0"/>
                <wp:wrapNone/>
                <wp:docPr id="1847494847"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09850" cy="1492250"/>
                        </a:xfrm>
                        <a:prstGeom prst="rect">
                          <a:avLst/>
                        </a:prstGeom>
                        <a:solidFill>
                          <a:schemeClr val="lt1"/>
                        </a:solidFill>
                        <a:ln w="6350">
                          <a:noFill/>
                        </a:ln>
                      </wps:spPr>
                      <wps:txbx>
                        <w:txbxContent>
                          <w:p w:rsidR="00EA0904" w:rsidRDefault="00EA0904" w:rsidP="00EA0904">
                            <w:pPr>
                              <w:spacing w:before="60" w:after="60"/>
                              <w:rPr>
                                <w:sz w:val="22"/>
                                <w:szCs w:val="22"/>
                              </w:rPr>
                            </w:pPr>
                          </w:p>
                          <w:p w:rsidR="00EA0904" w:rsidRPr="00EA0904" w:rsidRDefault="003C5DAF" w:rsidP="00EA0904">
                            <w:pPr>
                              <w:spacing w:before="60" w:after="60"/>
                              <w:rPr>
                                <w:sz w:val="22"/>
                                <w:szCs w:val="22"/>
                              </w:rPr>
                            </w:pPr>
                            <w:r>
                              <w:rPr>
                                <w:sz w:val="22"/>
                                <w:szCs w:val="22"/>
                              </w:rPr>
                              <w:t>Once you are logged in, c</w:t>
                            </w:r>
                            <w:r w:rsidR="00EA0904" w:rsidRPr="00B6741B">
                              <w:rPr>
                                <w:sz w:val="22"/>
                                <w:szCs w:val="22"/>
                              </w:rPr>
                              <w:t xml:space="preserve">lick on the </w:t>
                            </w:r>
                            <w:r w:rsidR="00EA0904" w:rsidRPr="00B6741B">
                              <w:rPr>
                                <w:b/>
                                <w:bCs/>
                                <w:sz w:val="22"/>
                                <w:szCs w:val="22"/>
                              </w:rPr>
                              <w:t>eLearning module link</w:t>
                            </w:r>
                            <w:r w:rsidR="00EA0904" w:rsidRPr="00B6741B">
                              <w:rPr>
                                <w:sz w:val="22"/>
                                <w:szCs w:val="22"/>
                              </w:rPr>
                              <w:t xml:space="preserve"> to </w:t>
                            </w:r>
                            <w:r w:rsidR="00F86310" w:rsidRPr="00B6741B">
                              <w:rPr>
                                <w:sz w:val="22"/>
                                <w:szCs w:val="22"/>
                              </w:rPr>
                              <w:t>view</w:t>
                            </w:r>
                            <w:r w:rsidR="00F86310">
                              <w:rPr>
                                <w:sz w:val="22"/>
                                <w:szCs w:val="22"/>
                              </w:rPr>
                              <w:t xml:space="preserve"> </w:t>
                            </w:r>
                            <w:r w:rsidR="00EA0904" w:rsidRPr="00B6741B">
                              <w:rPr>
                                <w:sz w:val="22"/>
                                <w:szCs w:val="22"/>
                              </w:rPr>
                              <w:t xml:space="preserve">and run the programme.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7D93FF" id="_x0000_t202" coordsize="21600,21600" o:spt="202" path="m,l,21600r21600,l21600,xe">
                <v:stroke joinstyle="miter"/>
                <v:path gradientshapeok="t" o:connecttype="rect"/>
              </v:shapetype>
              <v:shape id="Text Box 2" o:spid="_x0000_s1026" type="#_x0000_t202" alt="&quot;&quot;" style="position:absolute;margin-left:-5.05pt;margin-top:8pt;width:205.5pt;height:1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v2LAIAAFUEAAAOAAAAZHJzL2Uyb0RvYy54bWysVEtv2zAMvg/YfxB0X5y4adYYcYosRYYB&#10;QVsgLXpWZCk2IIuapMTOfv0o2Xm022nYRSZFio+PHz27b2tFDsK6CnROR4MhJUJzKCq9y+nry+rL&#10;HSXOM10wBVrk9CgcvZ9//jRrTCZSKEEVwhIMol3WmJyW3pssSRwvRc3cAIzQaJRga+ZRtbuksKzB&#10;6LVK0uFwkjRgC2OBC+fw9qEz0nmML6Xg/klKJzxROcXafDxtPLfhTOYzlu0sM2XF+zLYP1RRs0pj&#10;0nOoB+YZ2dvqj1B1xS04kH7AoU5AyoqL2AN2Mxp+6GZTMiNiLwiOM2eY3P8Lyx8PG/NsiW+/QYsD&#10;DIA0xmUOL0M/rbR1+GKlBO0I4fEMm2g94XiZTobTu1s0cbSNxtM0RQXjJJfnxjr/XUBNgpBTi3OJ&#10;cLHD2vnO9eQSsjlQVbGqlIpK4IJYKksODKeofCwSg7/zUpo0OZ3cYOrwSEN43kVWGmu5NBUk327b&#10;vtMtFEcEwELHDWf4qsIi18z5Z2aRDNgYEtw/4SEVYBLoJUpKsL/+dh/8cUZopaRBcuXU/dwzKyhR&#10;PzRObzoajwMbozK+/ZqiYq8t22uL3tdLwM5HuEqGRzH4e3USpYX6DfdgEbKiiWmOuXPqT+LSd5TH&#10;PeJisYhOyD/D/FpvDA+hA2hhBC/tG7Omn5PHET/CiYYs+zCuzreDe7H3IKs4ywBwh2qPO3I3sqHf&#10;s7Ac13r0uvwN5r8BAAD//wMAUEsDBBQABgAIAAAAIQBJ4HDb4QAAAAoBAAAPAAAAZHJzL2Rvd25y&#10;ZXYueG1sTI/LTsMwEEX3SPyDNUhsUGunpS2EOBVCPCR2NAXEzo2HJCIeR7GbhL9nWMFydI/unJtt&#10;J9eKAfvQeNKQzBUIpNLbhioN++JhdgUiREPWtJ5QwzcG2OanJ5lJrR/pBYddrASXUEiNhjrGLpUy&#10;lDU6E+a+Q+Ls0/fORD77StrejFzuWrlQai2daYg/1KbDuxrLr93Rafi4qN6fw/T4Oi5Xy+7+aSg2&#10;b7bQ+vxsur0BEXGKfzD86rM65Ox08EeyQbQaZolKGOVgzZsYuFTqGsRBw2KVKJB5Jv9PyH8AAAD/&#10;/wMAUEsBAi0AFAAGAAgAAAAhALaDOJL+AAAA4QEAABMAAAAAAAAAAAAAAAAAAAAAAFtDb250ZW50&#10;X1R5cGVzXS54bWxQSwECLQAUAAYACAAAACEAOP0h/9YAAACUAQAACwAAAAAAAAAAAAAAAAAvAQAA&#10;X3JlbHMvLnJlbHNQSwECLQAUAAYACAAAACEAnju79iwCAABVBAAADgAAAAAAAAAAAAAAAAAuAgAA&#10;ZHJzL2Uyb0RvYy54bWxQSwECLQAUAAYACAAAACEASeBw2+EAAAAKAQAADwAAAAAAAAAAAAAAAACG&#10;BAAAZHJzL2Rvd25yZXYueG1sUEsFBgAAAAAEAAQA8wAAAJQFAAAAAA==&#10;" fillcolor="white [3201]" stroked="f" strokeweight=".5pt">
                <v:textbox>
                  <w:txbxContent>
                    <w:p w:rsidR="00EA0904" w:rsidRDefault="00EA0904" w:rsidP="00EA0904">
                      <w:pPr>
                        <w:spacing w:before="60" w:after="60"/>
                        <w:rPr>
                          <w:sz w:val="22"/>
                          <w:szCs w:val="22"/>
                        </w:rPr>
                      </w:pPr>
                    </w:p>
                    <w:p w:rsidR="00EA0904" w:rsidRPr="00EA0904" w:rsidRDefault="003C5DAF" w:rsidP="00EA0904">
                      <w:pPr>
                        <w:spacing w:before="60" w:after="60"/>
                        <w:rPr>
                          <w:sz w:val="22"/>
                          <w:szCs w:val="22"/>
                        </w:rPr>
                      </w:pPr>
                      <w:r>
                        <w:rPr>
                          <w:sz w:val="22"/>
                          <w:szCs w:val="22"/>
                        </w:rPr>
                        <w:t>Once you are logged in, c</w:t>
                      </w:r>
                      <w:r w:rsidR="00EA0904" w:rsidRPr="00B6741B">
                        <w:rPr>
                          <w:sz w:val="22"/>
                          <w:szCs w:val="22"/>
                        </w:rPr>
                        <w:t xml:space="preserve">lick on the </w:t>
                      </w:r>
                      <w:r w:rsidR="00EA0904" w:rsidRPr="00B6741B">
                        <w:rPr>
                          <w:b/>
                          <w:bCs/>
                          <w:sz w:val="22"/>
                          <w:szCs w:val="22"/>
                        </w:rPr>
                        <w:t>eLearning module link</w:t>
                      </w:r>
                      <w:r w:rsidR="00EA0904" w:rsidRPr="00B6741B">
                        <w:rPr>
                          <w:sz w:val="22"/>
                          <w:szCs w:val="22"/>
                        </w:rPr>
                        <w:t xml:space="preserve"> to </w:t>
                      </w:r>
                      <w:r w:rsidR="00F86310" w:rsidRPr="00B6741B">
                        <w:rPr>
                          <w:sz w:val="22"/>
                          <w:szCs w:val="22"/>
                        </w:rPr>
                        <w:t>view</w:t>
                      </w:r>
                      <w:r w:rsidR="00F86310">
                        <w:rPr>
                          <w:sz w:val="22"/>
                          <w:szCs w:val="22"/>
                        </w:rPr>
                        <w:t xml:space="preserve"> </w:t>
                      </w:r>
                      <w:r w:rsidR="00EA0904" w:rsidRPr="00B6741B">
                        <w:rPr>
                          <w:sz w:val="22"/>
                          <w:szCs w:val="22"/>
                        </w:rPr>
                        <w:t xml:space="preserve">and run the programme. </w:t>
                      </w:r>
                    </w:p>
                  </w:txbxContent>
                </v:textbox>
              </v:shape>
            </w:pict>
          </mc:Fallback>
        </mc:AlternateContent>
      </w:r>
    </w:p>
    <w:p w:rsidR="00EA0904" w:rsidRDefault="00E468F7" w:rsidP="00EA0904">
      <w:pPr>
        <w:spacing w:before="60" w:after="60"/>
        <w:jc w:val="right"/>
        <w:rPr>
          <w:sz w:val="22"/>
          <w:szCs w:val="22"/>
        </w:rPr>
      </w:pPr>
      <w:r>
        <w:rPr>
          <w:noProof/>
        </w:rPr>
        <mc:AlternateContent>
          <mc:Choice Requires="wps">
            <w:drawing>
              <wp:anchor distT="0" distB="0" distL="114300" distR="114300" simplePos="0" relativeHeight="251662336" behindDoc="0" locked="0" layoutInCell="1" allowOverlap="1" wp14:anchorId="4E1BAF95" wp14:editId="7311E1D4">
                <wp:simplePos x="0" y="0"/>
                <wp:positionH relativeFrom="margin">
                  <wp:posOffset>2557780</wp:posOffset>
                </wp:positionH>
                <wp:positionV relativeFrom="paragraph">
                  <wp:posOffset>112395</wp:posOffset>
                </wp:positionV>
                <wp:extent cx="577850" cy="703580"/>
                <wp:effectExtent l="13335" t="62865" r="45085" b="64135"/>
                <wp:wrapNone/>
                <wp:docPr id="141798472" name="Arrow: Up 1" descr="Arrow pointing to the introduction section on the image of the NHS Learning hub page where the modules can be found"/>
                <wp:cNvGraphicFramePr/>
                <a:graphic xmlns:a="http://schemas.openxmlformats.org/drawingml/2006/main">
                  <a:graphicData uri="http://schemas.microsoft.com/office/word/2010/wordprocessingShape">
                    <wps:wsp>
                      <wps:cNvSpPr/>
                      <wps:spPr>
                        <a:xfrm rot="5400000">
                          <a:off x="0" y="0"/>
                          <a:ext cx="577850" cy="703580"/>
                        </a:xfrm>
                        <a:prstGeom prst="upArrow">
                          <a:avLst/>
                        </a:prstGeom>
                        <a:gradFill>
                          <a:gsLst>
                            <a:gs pos="0">
                              <a:srgbClr val="41B6E6">
                                <a:lumMod val="5000"/>
                                <a:lumOff val="95000"/>
                              </a:srgbClr>
                            </a:gs>
                            <a:gs pos="74000">
                              <a:srgbClr val="41B6E6">
                                <a:lumMod val="45000"/>
                                <a:lumOff val="55000"/>
                              </a:srgbClr>
                            </a:gs>
                            <a:gs pos="83000">
                              <a:srgbClr val="41B6E6">
                                <a:lumMod val="45000"/>
                                <a:lumOff val="55000"/>
                              </a:srgbClr>
                            </a:gs>
                            <a:gs pos="100000">
                              <a:srgbClr val="41B6E6">
                                <a:lumMod val="30000"/>
                                <a:lumOff val="70000"/>
                              </a:srgbClr>
                            </a:gs>
                          </a:gsLst>
                          <a:lin ang="5400000" scaled="1"/>
                        </a:gradFill>
                        <a:ln w="28575" cap="flat" cmpd="sng" algn="ctr">
                          <a:solidFill>
                            <a:srgbClr val="E8EDEE">
                              <a:lumMod val="1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9C5C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 o:spid="_x0000_s1026" type="#_x0000_t68" alt="Arrow pointing to the introduction section on the image of the NHS Learning hub page where the modules can be found" style="position:absolute;margin-left:201.4pt;margin-top:8.85pt;width:45.5pt;height:55.4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bH2gIAAL4GAAAOAAAAZHJzL2Uyb0RvYy54bWy8VW1v2jAQ/j5p/8Hy9zVASaGooWKFTpO6&#10;tlI79fPhOCGS32YbQvfrd3YSyNpq2qZpfLDOd5d7ee78cHG5l4LsuHWVVhkdngwo4YrpvFJlRr8+&#10;Xn+YUuI8qByEVjyjz9zRy/n7dxe1mfGR3miRc0swiHKz2mR0472ZJYljGy7BnWjDFRoLbSV4vNoy&#10;yS3UGF2KZDQYnCW1trmxmnHnULtsjHQe4xcFZ/6uKBz3RGQUa/PxtPFchzOZX8CstGA2FWvLgL+o&#10;QkKlMOkh1BI8kK2tXoWSFbPa6cKfMC0TXRQV47EH7GY4eNHNwwYMj70gOM4cYHL/Liy73T2Ye4sw&#10;1MbNHIqhi31hJbEa0UrHg/CLvWG1ZB+hez5Ax/eeMFSmk8k0RYAZmiaD03QaoU2aUCGksc5/4lqS&#10;IGR0axbW6jrGhd2N81gBendeLZT5dSVElB26NAIxGvtvKnK2XF8JS3aA4x0PP56tzmJEsZVfdN6o&#10;01B+HDNqcRka7XmnxqRtlFhA6fpZJqH7GPF3Mo27mDDrp0o79S9TTU//W6ohZvqDtkJhbyA46dRv&#10;tIWqspuYqBSBwAbdKhHHQPAc2SKMJbhaOAxaKFJndDRNJykuEyAjFAI8itLgF06VlIAokWqYt81g&#10;tKgOX/80pdV0tVytXu1D7L7N3J+86wcKe7gEt2mWJZqaHZKVR74SlczoNADQrblQYW94ZJx2m48P&#10;KkhrnT/f2+ZR4Ttxhl1XmOQGnL8Hi5yDSuRRf4dHITSCoFuJko2239/SB3+kArRSUiOHIUDftmA5&#10;JeKzwkdyPhyPA+nFyzidjPBi+5Z136K28krjOxrG6qIY/L3oxMJq+YR0uwhZ0QSKYe5mFO3lyjfc&#10;ioTN+GIR3ZDoDPgb9WBYCB5wCvA+7p/AmpYOPPLIre74DmYvKKHxDV8qvdh6XVSRL4644h6FC5Jk&#10;t1GB0AML9+/R6/i3M/8BAAD//wMAUEsDBBQABgAIAAAAIQCuapm04AAAAAoBAAAPAAAAZHJzL2Rv&#10;d25yZXYueG1sTI9BT8JAEIXvJv6HzZh4ky1FC9RuCYFIPCo2JtyW7tht6M423QXqv3c86XHyvrz3&#10;TbEaXScuOITWk4LpJAGBVHvTUqOg+nh5WIAIUZPRnSdU8I0BVuXtTaFz46/0jpd9bASXUMi1Ahtj&#10;n0sZaotOh4nvkTj78oPTkc+hkWbQVy53nUyTJJNOt8QLVve4sVif9mfHI9vqYOPGvJ4eD1Xcfva7&#10;t3W7U+r+blw/g4g4xj8YfvVZHUp2OvozmSA6BbNlumRUQTrPQDDwlMzmII5MThcZyLKQ/18ofwAA&#10;AP//AwBQSwECLQAUAAYACAAAACEAtoM4kv4AAADhAQAAEwAAAAAAAAAAAAAAAAAAAAAAW0NvbnRl&#10;bnRfVHlwZXNdLnhtbFBLAQItABQABgAIAAAAIQA4/SH/1gAAAJQBAAALAAAAAAAAAAAAAAAAAC8B&#10;AABfcmVscy8ucmVsc1BLAQItABQABgAIAAAAIQBVZZbH2gIAAL4GAAAOAAAAAAAAAAAAAAAAAC4C&#10;AABkcnMvZTJvRG9jLnhtbFBLAQItABQABgAIAAAAIQCuapm04AAAAAoBAAAPAAAAAAAAAAAAAAAA&#10;ADQFAABkcnMvZG93bnJldi54bWxQSwUGAAAAAAQABADzAAAAQQYAAAAA&#10;" adj="8870" fillcolor="#f5fbfe" strokecolor="#141a1b" strokeweight="2.25pt">
                <v:fill color2="#c6e9f7" colors="0 #f5fbfe;48497f #a9def4;54395f #a9def4;1 #c6e9f7" focus="100%" type="gradient"/>
                <w10:wrap anchorx="margin"/>
              </v:shape>
            </w:pict>
          </mc:Fallback>
        </mc:AlternateContent>
      </w:r>
      <w:r>
        <w:rPr>
          <w:noProof/>
        </w:rPr>
        <w:drawing>
          <wp:inline distT="0" distB="0" distL="0" distR="0" wp14:anchorId="5D86A677" wp14:editId="453C253D">
            <wp:extent cx="3247956" cy="2610978"/>
            <wp:effectExtent l="19050" t="19050" r="10160" b="18415"/>
            <wp:docPr id="2074077547" name="Picture 1" descr="A screenshot of a search catal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77547" name="Picture 1" descr="A screenshot of a search catalogue"/>
                    <pic:cNvPicPr/>
                  </pic:nvPicPr>
                  <pic:blipFill>
                    <a:blip r:embed="rId12"/>
                    <a:stretch>
                      <a:fillRect/>
                    </a:stretch>
                  </pic:blipFill>
                  <pic:spPr>
                    <a:xfrm>
                      <a:off x="0" y="0"/>
                      <a:ext cx="3259951" cy="2620621"/>
                    </a:xfrm>
                    <a:prstGeom prst="rect">
                      <a:avLst/>
                    </a:prstGeom>
                    <a:ln>
                      <a:solidFill>
                        <a:schemeClr val="bg1">
                          <a:lumMod val="65000"/>
                        </a:schemeClr>
                      </a:solidFill>
                    </a:ln>
                  </pic:spPr>
                </pic:pic>
              </a:graphicData>
            </a:graphic>
          </wp:inline>
        </w:drawing>
      </w:r>
    </w:p>
    <w:p w:rsidR="00EA0904" w:rsidRPr="00EA0904" w:rsidRDefault="00EA0904" w:rsidP="00EA0904">
      <w:pPr>
        <w:spacing w:before="60" w:after="60"/>
        <w:rPr>
          <w:b/>
          <w:bCs/>
          <w:sz w:val="22"/>
          <w:szCs w:val="22"/>
        </w:rPr>
      </w:pPr>
      <w:r w:rsidRPr="00EA0904">
        <w:rPr>
          <w:b/>
          <w:bCs/>
          <w:sz w:val="22"/>
          <w:szCs w:val="22"/>
        </w:rPr>
        <w:t xml:space="preserve">OR </w:t>
      </w:r>
    </w:p>
    <w:p w:rsidR="00EA0904" w:rsidRDefault="00EA0904" w:rsidP="00EA0904">
      <w:pPr>
        <w:spacing w:before="60" w:after="60"/>
        <w:rPr>
          <w:sz w:val="22"/>
          <w:szCs w:val="22"/>
        </w:rPr>
      </w:pPr>
      <w:r w:rsidRPr="00B6741B">
        <w:rPr>
          <w:sz w:val="22"/>
          <w:szCs w:val="22"/>
        </w:rPr>
        <w:t xml:space="preserve">From the </w:t>
      </w:r>
      <w:hyperlink r:id="rId13" w:history="1">
        <w:r w:rsidRPr="00B6741B">
          <w:rPr>
            <w:rStyle w:val="Hyperlink"/>
            <w:sz w:val="22"/>
            <w:szCs w:val="22"/>
          </w:rPr>
          <w:t>Learning Hub home page</w:t>
        </w:r>
      </w:hyperlink>
      <w:r w:rsidRPr="00B6741B">
        <w:rPr>
          <w:sz w:val="22"/>
          <w:szCs w:val="22"/>
        </w:rPr>
        <w:t xml:space="preserve"> log in and use the search bar to search for the catalogue </w:t>
      </w:r>
      <w:r>
        <w:rPr>
          <w:sz w:val="22"/>
          <w:szCs w:val="22"/>
        </w:rPr>
        <w:t>called</w:t>
      </w:r>
      <w:r w:rsidRPr="00B6741B">
        <w:rPr>
          <w:sz w:val="22"/>
          <w:szCs w:val="22"/>
        </w:rPr>
        <w:t xml:space="preserve"> </w:t>
      </w:r>
    </w:p>
    <w:p w:rsidR="00EA0904" w:rsidRPr="00B6741B" w:rsidRDefault="00EA0904" w:rsidP="00EA0904">
      <w:pPr>
        <w:spacing w:before="60" w:after="60"/>
        <w:rPr>
          <w:sz w:val="22"/>
          <w:szCs w:val="22"/>
        </w:rPr>
      </w:pPr>
      <w:r w:rsidRPr="00B6741B">
        <w:rPr>
          <w:sz w:val="22"/>
          <w:szCs w:val="22"/>
        </w:rPr>
        <w:t xml:space="preserve">‘Safe Management of Medicines for Social Care Staff’. </w:t>
      </w:r>
    </w:p>
    <w:p w:rsidR="008C0EE0" w:rsidRPr="00B6741B" w:rsidRDefault="008C0EE0" w:rsidP="00DA527C">
      <w:pPr>
        <w:rPr>
          <w:sz w:val="10"/>
          <w:szCs w:val="10"/>
        </w:rPr>
      </w:pPr>
    </w:p>
    <w:p w:rsidR="04B760D4" w:rsidRDefault="04B760D4" w:rsidP="04B760D4">
      <w:pPr>
        <w:rPr>
          <w:sz w:val="10"/>
          <w:szCs w:val="10"/>
        </w:rPr>
      </w:pPr>
    </w:p>
    <w:p w:rsidR="00BB0C9A" w:rsidRPr="00DC459E" w:rsidRDefault="00BB0C9A" w:rsidP="00DC459E">
      <w:pPr>
        <w:pStyle w:val="ListParagraph"/>
        <w:rPr>
          <w:sz w:val="10"/>
          <w:szCs w:val="10"/>
        </w:rPr>
      </w:pPr>
    </w:p>
    <w:p w:rsidR="008B54EE" w:rsidRPr="00F86310" w:rsidRDefault="008B54EE" w:rsidP="008C0EE0">
      <w:pPr>
        <w:pStyle w:val="Heading3"/>
        <w:spacing w:after="120" w:afterAutospacing="0"/>
        <w:rPr>
          <w:szCs w:val="24"/>
        </w:rPr>
      </w:pPr>
      <w:r w:rsidRPr="00F86310">
        <w:rPr>
          <w:szCs w:val="24"/>
        </w:rPr>
        <w:t>Ways to access the Learning Hub</w:t>
      </w:r>
    </w:p>
    <w:p w:rsidR="00BB0C9A" w:rsidRDefault="00BB0C9A" w:rsidP="008C0EE0">
      <w:pPr>
        <w:spacing w:after="120"/>
        <w:rPr>
          <w:sz w:val="22"/>
          <w:szCs w:val="22"/>
        </w:rPr>
      </w:pPr>
      <w:bookmarkStart w:id="1" w:name="_Hlk158991316"/>
      <w:bookmarkStart w:id="2" w:name="_Hlk158991432"/>
      <w:r w:rsidRPr="00BB0C9A">
        <w:rPr>
          <w:sz w:val="22"/>
          <w:szCs w:val="22"/>
        </w:rPr>
        <w:t xml:space="preserve">This flyer provides information such as how to </w:t>
      </w:r>
      <w:r w:rsidRPr="00153178">
        <w:rPr>
          <w:sz w:val="22"/>
          <w:szCs w:val="22"/>
        </w:rPr>
        <w:t xml:space="preserve">create an account: </w:t>
      </w:r>
      <w:hyperlink r:id="rId14" w:tgtFrame="_blank" w:history="1">
        <w:r w:rsidR="00613670" w:rsidRPr="00153178">
          <w:rPr>
            <w:rStyle w:val="Hyperlink"/>
            <w:rFonts w:cs="Arial"/>
            <w:sz w:val="22"/>
            <w:szCs w:val="22"/>
          </w:rPr>
          <w:t>How to use NHS Learning Hub</w:t>
        </w:r>
      </w:hyperlink>
    </w:p>
    <w:p w:rsidR="00BB0C9A" w:rsidRDefault="00BB0C9A" w:rsidP="008C0EE0">
      <w:pPr>
        <w:spacing w:after="120"/>
        <w:rPr>
          <w:sz w:val="22"/>
          <w:szCs w:val="22"/>
        </w:rPr>
      </w:pPr>
    </w:p>
    <w:p w:rsidR="007A52C7" w:rsidRDefault="00191913" w:rsidP="008C0EE0">
      <w:pPr>
        <w:spacing w:after="120"/>
        <w:rPr>
          <w:sz w:val="22"/>
          <w:szCs w:val="22"/>
        </w:rPr>
      </w:pPr>
      <w:r w:rsidRPr="00B6741B">
        <w:rPr>
          <w:sz w:val="22"/>
          <w:szCs w:val="22"/>
        </w:rPr>
        <w:t xml:space="preserve">Use the </w:t>
      </w:r>
      <w:hyperlink r:id="rId15" w:history="1">
        <w:r w:rsidR="003C167F" w:rsidRPr="00B6741B">
          <w:rPr>
            <w:rStyle w:val="Hyperlink"/>
            <w:sz w:val="22"/>
            <w:szCs w:val="22"/>
          </w:rPr>
          <w:t>Help Section</w:t>
        </w:r>
      </w:hyperlink>
      <w:r w:rsidRPr="00B6741B">
        <w:rPr>
          <w:sz w:val="22"/>
          <w:szCs w:val="22"/>
        </w:rPr>
        <w:t xml:space="preserve"> </w:t>
      </w:r>
      <w:r w:rsidR="008B54EE" w:rsidRPr="00B6741B">
        <w:rPr>
          <w:sz w:val="22"/>
          <w:szCs w:val="22"/>
        </w:rPr>
        <w:t xml:space="preserve">for </w:t>
      </w:r>
      <w:bookmarkEnd w:id="1"/>
      <w:r w:rsidR="008B54EE" w:rsidRPr="00B6741B">
        <w:rPr>
          <w:sz w:val="22"/>
          <w:szCs w:val="22"/>
        </w:rPr>
        <w:t xml:space="preserve">support on who can access the </w:t>
      </w:r>
      <w:r w:rsidR="003C167F" w:rsidRPr="00B6741B">
        <w:rPr>
          <w:sz w:val="22"/>
          <w:szCs w:val="22"/>
        </w:rPr>
        <w:t>Learning Hub</w:t>
      </w:r>
      <w:r w:rsidR="008B54EE" w:rsidRPr="00B6741B">
        <w:rPr>
          <w:sz w:val="22"/>
          <w:szCs w:val="22"/>
        </w:rPr>
        <w:t xml:space="preserve"> and </w:t>
      </w:r>
      <w:r w:rsidRPr="00B6741B">
        <w:rPr>
          <w:sz w:val="22"/>
          <w:szCs w:val="22"/>
        </w:rPr>
        <w:t>to find out how to access the Learning Hub</w:t>
      </w:r>
      <w:r w:rsidR="0048594F" w:rsidRPr="00B6741B">
        <w:rPr>
          <w:sz w:val="22"/>
          <w:szCs w:val="22"/>
        </w:rPr>
        <w:t xml:space="preserve"> by creating an account</w:t>
      </w:r>
      <w:r w:rsidR="008B54EE" w:rsidRPr="00B6741B">
        <w:rPr>
          <w:sz w:val="22"/>
          <w:szCs w:val="22"/>
        </w:rPr>
        <w:t>.</w:t>
      </w:r>
      <w:r w:rsidR="008852F4" w:rsidRPr="00B6741B">
        <w:rPr>
          <w:sz w:val="22"/>
          <w:szCs w:val="22"/>
        </w:rPr>
        <w:t xml:space="preserve"> </w:t>
      </w:r>
      <w:bookmarkEnd w:id="2"/>
    </w:p>
    <w:p w:rsidR="00FD30FE" w:rsidRDefault="00FD30FE" w:rsidP="00FD30FE">
      <w:pPr>
        <w:rPr>
          <w:sz w:val="22"/>
          <w:szCs w:val="22"/>
          <w:u w:val="single"/>
        </w:rPr>
      </w:pPr>
    </w:p>
    <w:p w:rsidR="00FD30FE" w:rsidRDefault="00FD30FE" w:rsidP="00FD30FE">
      <w:pPr>
        <w:rPr>
          <w:sz w:val="22"/>
          <w:szCs w:val="22"/>
          <w:u w:val="single"/>
        </w:rPr>
      </w:pPr>
    </w:p>
    <w:p w:rsidR="00FD30FE" w:rsidRPr="00B6741B" w:rsidRDefault="00FD30FE" w:rsidP="00FD30FE">
      <w:pPr>
        <w:rPr>
          <w:sz w:val="22"/>
          <w:szCs w:val="22"/>
        </w:rPr>
      </w:pPr>
      <w:r w:rsidRPr="00B6741B">
        <w:rPr>
          <w:sz w:val="22"/>
          <w:szCs w:val="22"/>
          <w:u w:val="single"/>
        </w:rPr>
        <w:t>Top Tips:</w:t>
      </w:r>
      <w:r w:rsidRPr="00B6741B">
        <w:rPr>
          <w:sz w:val="22"/>
          <w:szCs w:val="22"/>
        </w:rPr>
        <w:t xml:space="preserve"> </w:t>
      </w:r>
    </w:p>
    <w:p w:rsidR="00FD30FE" w:rsidRPr="005C132E" w:rsidRDefault="00FD30FE" w:rsidP="00FD30FE">
      <w:pPr>
        <w:pStyle w:val="ListParagraph"/>
        <w:numPr>
          <w:ilvl w:val="0"/>
          <w:numId w:val="2"/>
        </w:numPr>
        <w:rPr>
          <w:sz w:val="22"/>
          <w:szCs w:val="22"/>
        </w:rPr>
      </w:pPr>
      <w:r w:rsidRPr="005C132E">
        <w:rPr>
          <w:sz w:val="22"/>
          <w:szCs w:val="22"/>
        </w:rPr>
        <w:t>Use ‘Chrome’ browser to get maximum benefit of the programme.</w:t>
      </w:r>
    </w:p>
    <w:p w:rsidR="00FD30FE" w:rsidRPr="005C132E" w:rsidRDefault="00FD30FE" w:rsidP="00B459EE">
      <w:pPr>
        <w:pStyle w:val="ListParagraph"/>
        <w:numPr>
          <w:ilvl w:val="0"/>
          <w:numId w:val="2"/>
        </w:numPr>
        <w:rPr>
          <w:sz w:val="22"/>
          <w:szCs w:val="22"/>
        </w:rPr>
      </w:pPr>
      <w:r w:rsidRPr="005C132E">
        <w:rPr>
          <w:sz w:val="22"/>
          <w:szCs w:val="22"/>
        </w:rPr>
        <w:t>Don’t forget to bookmark it for next time!</w:t>
      </w:r>
    </w:p>
    <w:p w:rsidR="00B459EE" w:rsidRPr="00FD30FE" w:rsidRDefault="00B459EE" w:rsidP="00B459EE">
      <w:pPr>
        <w:pStyle w:val="ListParagraph"/>
        <w:numPr>
          <w:ilvl w:val="0"/>
          <w:numId w:val="2"/>
        </w:numPr>
        <w:rPr>
          <w:sz w:val="22"/>
          <w:szCs w:val="22"/>
        </w:rPr>
      </w:pPr>
      <w:r w:rsidRPr="005C132E">
        <w:rPr>
          <w:sz w:val="22"/>
          <w:szCs w:val="22"/>
        </w:rPr>
        <w:t>When learners get to the certificate page there is a link to a guide on how to save as a PDF and/or print their certificate. Once they have done this, they need to click the ‘next’ button (see image below) to also save the certificate to their ‘My Learning’ section of the hu</w:t>
      </w:r>
      <w:r w:rsidR="000114BD">
        <w:rPr>
          <w:sz w:val="22"/>
          <w:szCs w:val="22"/>
        </w:rPr>
        <w:t>b.</w:t>
      </w:r>
    </w:p>
    <w:p w:rsidR="00B459EE" w:rsidRDefault="00B459EE" w:rsidP="00B459EE">
      <w:pPr>
        <w:rPr>
          <w:sz w:val="22"/>
          <w:szCs w:val="22"/>
        </w:rPr>
      </w:pPr>
    </w:p>
    <w:p w:rsidR="00B459EE" w:rsidRDefault="00650AF4" w:rsidP="005C132E">
      <w:pPr>
        <w:jc w:val="center"/>
        <w:rPr>
          <w:sz w:val="22"/>
          <w:szCs w:val="22"/>
        </w:rPr>
      </w:pPr>
      <w:r w:rsidRPr="00650AF4">
        <w:rPr>
          <w:noProof/>
          <w:sz w:val="22"/>
          <w:szCs w:val="22"/>
        </w:rPr>
        <w:drawing>
          <wp:inline distT="0" distB="0" distL="0" distR="0" wp14:anchorId="33C82278" wp14:editId="4D00EB77">
            <wp:extent cx="5016758" cy="3321221"/>
            <wp:effectExtent l="0" t="0" r="0" b="0"/>
            <wp:docPr id="729190447" name="Picture 1"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90447" name="Picture 1" descr="A screenshot of a computer error&#10;&#10;Description automatically generated"/>
                    <pic:cNvPicPr/>
                  </pic:nvPicPr>
                  <pic:blipFill>
                    <a:blip r:embed="rId16"/>
                    <a:stretch>
                      <a:fillRect/>
                    </a:stretch>
                  </pic:blipFill>
                  <pic:spPr>
                    <a:xfrm>
                      <a:off x="0" y="0"/>
                      <a:ext cx="5016758" cy="3321221"/>
                    </a:xfrm>
                    <a:prstGeom prst="rect">
                      <a:avLst/>
                    </a:prstGeom>
                  </pic:spPr>
                </pic:pic>
              </a:graphicData>
            </a:graphic>
          </wp:inline>
        </w:drawing>
      </w:r>
    </w:p>
    <w:sectPr w:rsidR="00B459EE" w:rsidSect="004F16B3">
      <w:headerReference w:type="default" r:id="rId17"/>
      <w:footerReference w:type="even" r:id="rId18"/>
      <w:footerReference w:type="default" r:id="rId19"/>
      <w:headerReference w:type="first" r:id="rId20"/>
      <w:footerReference w:type="first" r:id="rId21"/>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6946" w:rsidRDefault="00E26946" w:rsidP="00AC72FD">
      <w:r>
        <w:separator/>
      </w:r>
    </w:p>
  </w:endnote>
  <w:endnote w:type="continuationSeparator" w:id="0">
    <w:p w:rsidR="00E26946" w:rsidRDefault="00E26946"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2809" w:rsidRDefault="00424C5D" w:rsidP="00D7296D">
    <w:pPr>
      <w:pStyle w:val="Footer"/>
      <w:jc w:val="center"/>
    </w:pPr>
    <w:r w:rsidRPr="003B3F95">
      <w:rPr>
        <w:sz w:val="18"/>
        <w:szCs w:val="18"/>
      </w:rPr>
      <w:t>NHS England</w:t>
    </w:r>
    <w:r>
      <w:rPr>
        <w:sz w:val="18"/>
        <w:szCs w:val="18"/>
      </w:rPr>
      <w:t>,</w:t>
    </w:r>
    <w:r w:rsidRPr="003B3F95">
      <w:rPr>
        <w:sz w:val="18"/>
        <w:szCs w:val="18"/>
      </w:rPr>
      <w:t xml:space="preserve"> North West</w:t>
    </w:r>
    <w:r>
      <w:rPr>
        <w:sz w:val="18"/>
        <w:szCs w:val="18"/>
      </w:rPr>
      <w:t xml:space="preserve">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6A11" w:rsidRDefault="003B3F95" w:rsidP="00196A11">
    <w:pPr>
      <w:pStyle w:val="Footer"/>
      <w:jc w:val="center"/>
      <w:rPr>
        <w:sz w:val="18"/>
        <w:szCs w:val="18"/>
      </w:rPr>
    </w:pPr>
    <w:r w:rsidRPr="003B3F95">
      <w:rPr>
        <w:sz w:val="18"/>
        <w:szCs w:val="18"/>
      </w:rPr>
      <w:t>NHS England</w:t>
    </w:r>
    <w:r>
      <w:rPr>
        <w:sz w:val="18"/>
        <w:szCs w:val="18"/>
      </w:rPr>
      <w:t>,</w:t>
    </w:r>
    <w:r w:rsidRPr="003B3F95">
      <w:rPr>
        <w:sz w:val="18"/>
        <w:szCs w:val="18"/>
      </w:rPr>
      <w:t xml:space="preserve"> North West</w:t>
    </w:r>
    <w:r w:rsidR="00DC60D1">
      <w:rPr>
        <w:sz w:val="18"/>
        <w:szCs w:val="18"/>
      </w:rPr>
      <w:t xml:space="preserve"> </w:t>
    </w:r>
    <w:r w:rsidR="00424C5D">
      <w:rPr>
        <w:sz w:val="18"/>
        <w:szCs w:val="18"/>
      </w:rPr>
      <w:t>December</w:t>
    </w:r>
    <w:r w:rsidR="00196A11">
      <w:rPr>
        <w:sz w:val="18"/>
        <w:szCs w:val="18"/>
      </w:rPr>
      <w:t xml:space="preserve"> 202</w:t>
    </w:r>
    <w:r w:rsidR="00DC60D1">
      <w:rPr>
        <w:sz w:val="18"/>
        <w:szCs w:val="18"/>
      </w:rPr>
      <w:t>4</w:t>
    </w:r>
  </w:p>
  <w:p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6946" w:rsidRDefault="00E26946" w:rsidP="00AC72FD">
      <w:r>
        <w:separator/>
      </w:r>
    </w:p>
  </w:footnote>
  <w:footnote w:type="continuationSeparator" w:id="0">
    <w:p w:rsidR="00E26946" w:rsidRDefault="00E26946"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2809" w:rsidRPr="00AC72FD" w:rsidRDefault="00C5508E" w:rsidP="00964AF4">
    <w:pPr>
      <w:pStyle w:val="Heading2"/>
      <w:spacing w:after="400"/>
      <w:jc w:val="right"/>
    </w:pPr>
    <w:r w:rsidRPr="00811889">
      <w:rPr>
        <w:noProof/>
      </w:rPr>
      <w:drawing>
        <wp:inline distT="0" distB="0" distL="0" distR="0" wp14:anchorId="478CB289" wp14:editId="7BAA187E">
          <wp:extent cx="1080655" cy="436418"/>
          <wp:effectExtent l="0" t="0" r="0" b="0"/>
          <wp:docPr id="400277965"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E37D9"/>
    <w:multiLevelType w:val="hybridMultilevel"/>
    <w:tmpl w:val="9108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740112"/>
    <w:multiLevelType w:val="hybridMultilevel"/>
    <w:tmpl w:val="59CA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2418131">
    <w:abstractNumId w:val="1"/>
  </w:num>
  <w:num w:numId="2" w16cid:durableId="2063826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0269"/>
    <w:rsid w:val="000114BD"/>
    <w:rsid w:val="00021551"/>
    <w:rsid w:val="00031871"/>
    <w:rsid w:val="0003694A"/>
    <w:rsid w:val="000944C6"/>
    <w:rsid w:val="000C4148"/>
    <w:rsid w:val="000D5C04"/>
    <w:rsid w:val="000E07B3"/>
    <w:rsid w:val="00101FB9"/>
    <w:rsid w:val="00107CF7"/>
    <w:rsid w:val="001263B4"/>
    <w:rsid w:val="00135A54"/>
    <w:rsid w:val="00142228"/>
    <w:rsid w:val="00153178"/>
    <w:rsid w:val="00154002"/>
    <w:rsid w:val="00164552"/>
    <w:rsid w:val="00184133"/>
    <w:rsid w:val="00191913"/>
    <w:rsid w:val="00196A11"/>
    <w:rsid w:val="00197E69"/>
    <w:rsid w:val="001A3B4D"/>
    <w:rsid w:val="001A70C0"/>
    <w:rsid w:val="001B17F4"/>
    <w:rsid w:val="001B45BF"/>
    <w:rsid w:val="001D2DCB"/>
    <w:rsid w:val="001D4F3A"/>
    <w:rsid w:val="001F54D9"/>
    <w:rsid w:val="00206FF5"/>
    <w:rsid w:val="00214162"/>
    <w:rsid w:val="00214455"/>
    <w:rsid w:val="00220164"/>
    <w:rsid w:val="0025038D"/>
    <w:rsid w:val="002505D2"/>
    <w:rsid w:val="00271A5C"/>
    <w:rsid w:val="002D6889"/>
    <w:rsid w:val="002E49BA"/>
    <w:rsid w:val="002E50BF"/>
    <w:rsid w:val="002F057C"/>
    <w:rsid w:val="002F3FBE"/>
    <w:rsid w:val="00317F85"/>
    <w:rsid w:val="003220AF"/>
    <w:rsid w:val="00336926"/>
    <w:rsid w:val="00346D93"/>
    <w:rsid w:val="003547F5"/>
    <w:rsid w:val="00360C55"/>
    <w:rsid w:val="00366C2F"/>
    <w:rsid w:val="003777BB"/>
    <w:rsid w:val="0038048C"/>
    <w:rsid w:val="003971A6"/>
    <w:rsid w:val="003B3F95"/>
    <w:rsid w:val="003C167F"/>
    <w:rsid w:val="003C5DAF"/>
    <w:rsid w:val="003F6CA9"/>
    <w:rsid w:val="00401409"/>
    <w:rsid w:val="00412B26"/>
    <w:rsid w:val="00424C5D"/>
    <w:rsid w:val="00426F50"/>
    <w:rsid w:val="0042708F"/>
    <w:rsid w:val="004303E9"/>
    <w:rsid w:val="00462C5B"/>
    <w:rsid w:val="00485117"/>
    <w:rsid w:val="0048594F"/>
    <w:rsid w:val="00492955"/>
    <w:rsid w:val="004B426A"/>
    <w:rsid w:val="004C0691"/>
    <w:rsid w:val="004C6365"/>
    <w:rsid w:val="004C6DF5"/>
    <w:rsid w:val="004F16B3"/>
    <w:rsid w:val="004F47A4"/>
    <w:rsid w:val="0050682C"/>
    <w:rsid w:val="00511668"/>
    <w:rsid w:val="005236DB"/>
    <w:rsid w:val="00540AB3"/>
    <w:rsid w:val="00550601"/>
    <w:rsid w:val="005507B6"/>
    <w:rsid w:val="00593268"/>
    <w:rsid w:val="005936A4"/>
    <w:rsid w:val="00594811"/>
    <w:rsid w:val="005C132E"/>
    <w:rsid w:val="005C7973"/>
    <w:rsid w:val="005C7ECA"/>
    <w:rsid w:val="005C7F5D"/>
    <w:rsid w:val="005D2BE7"/>
    <w:rsid w:val="00611A3A"/>
    <w:rsid w:val="00613670"/>
    <w:rsid w:val="00644C07"/>
    <w:rsid w:val="00650AF4"/>
    <w:rsid w:val="00666C81"/>
    <w:rsid w:val="0067585F"/>
    <w:rsid w:val="00683AD2"/>
    <w:rsid w:val="00686F81"/>
    <w:rsid w:val="006E194A"/>
    <w:rsid w:val="00701276"/>
    <w:rsid w:val="00782D6A"/>
    <w:rsid w:val="007A52C7"/>
    <w:rsid w:val="007B4DC2"/>
    <w:rsid w:val="007C4774"/>
    <w:rsid w:val="007E0672"/>
    <w:rsid w:val="007E65D8"/>
    <w:rsid w:val="007F2CB8"/>
    <w:rsid w:val="00811889"/>
    <w:rsid w:val="00832663"/>
    <w:rsid w:val="00832F64"/>
    <w:rsid w:val="00841752"/>
    <w:rsid w:val="00850E20"/>
    <w:rsid w:val="00855200"/>
    <w:rsid w:val="00861C74"/>
    <w:rsid w:val="00871E52"/>
    <w:rsid w:val="0088174C"/>
    <w:rsid w:val="008852F4"/>
    <w:rsid w:val="00897544"/>
    <w:rsid w:val="00897E01"/>
    <w:rsid w:val="008B0C2E"/>
    <w:rsid w:val="008B54EE"/>
    <w:rsid w:val="008C0EE0"/>
    <w:rsid w:val="008D79FE"/>
    <w:rsid w:val="008F1A3E"/>
    <w:rsid w:val="00906015"/>
    <w:rsid w:val="0091039C"/>
    <w:rsid w:val="00931123"/>
    <w:rsid w:val="00933394"/>
    <w:rsid w:val="009575AC"/>
    <w:rsid w:val="009623E5"/>
    <w:rsid w:val="009648C3"/>
    <w:rsid w:val="00964AF4"/>
    <w:rsid w:val="00970AB9"/>
    <w:rsid w:val="00980A2A"/>
    <w:rsid w:val="009C1E65"/>
    <w:rsid w:val="009D32F5"/>
    <w:rsid w:val="009E2641"/>
    <w:rsid w:val="009E4D11"/>
    <w:rsid w:val="00A01ECC"/>
    <w:rsid w:val="00A030ED"/>
    <w:rsid w:val="00A14B8E"/>
    <w:rsid w:val="00A41F17"/>
    <w:rsid w:val="00A56AAE"/>
    <w:rsid w:val="00A6391D"/>
    <w:rsid w:val="00A76867"/>
    <w:rsid w:val="00A951B7"/>
    <w:rsid w:val="00A97741"/>
    <w:rsid w:val="00AA400D"/>
    <w:rsid w:val="00AA447F"/>
    <w:rsid w:val="00AB2A9F"/>
    <w:rsid w:val="00AB2C1E"/>
    <w:rsid w:val="00AC22F8"/>
    <w:rsid w:val="00AC72FD"/>
    <w:rsid w:val="00AD0C71"/>
    <w:rsid w:val="00AD3004"/>
    <w:rsid w:val="00AE09B3"/>
    <w:rsid w:val="00AF36AF"/>
    <w:rsid w:val="00AF3CE5"/>
    <w:rsid w:val="00B02348"/>
    <w:rsid w:val="00B02376"/>
    <w:rsid w:val="00B0441A"/>
    <w:rsid w:val="00B27686"/>
    <w:rsid w:val="00B41379"/>
    <w:rsid w:val="00B44DC5"/>
    <w:rsid w:val="00B459EE"/>
    <w:rsid w:val="00B56A78"/>
    <w:rsid w:val="00B60DE6"/>
    <w:rsid w:val="00B62664"/>
    <w:rsid w:val="00B6741B"/>
    <w:rsid w:val="00B8599B"/>
    <w:rsid w:val="00BA0088"/>
    <w:rsid w:val="00BB0C9A"/>
    <w:rsid w:val="00BB2C27"/>
    <w:rsid w:val="00BC39A2"/>
    <w:rsid w:val="00BC3EE5"/>
    <w:rsid w:val="00BC4EC9"/>
    <w:rsid w:val="00C1729D"/>
    <w:rsid w:val="00C205F1"/>
    <w:rsid w:val="00C31802"/>
    <w:rsid w:val="00C5426B"/>
    <w:rsid w:val="00C5508E"/>
    <w:rsid w:val="00C62B5C"/>
    <w:rsid w:val="00C904A8"/>
    <w:rsid w:val="00C923CF"/>
    <w:rsid w:val="00CA7EEA"/>
    <w:rsid w:val="00CB21A1"/>
    <w:rsid w:val="00CE2206"/>
    <w:rsid w:val="00CF3B93"/>
    <w:rsid w:val="00CF64F6"/>
    <w:rsid w:val="00D249FB"/>
    <w:rsid w:val="00D40C54"/>
    <w:rsid w:val="00D577A7"/>
    <w:rsid w:val="00D62DAB"/>
    <w:rsid w:val="00D66269"/>
    <w:rsid w:val="00D7296D"/>
    <w:rsid w:val="00D743DB"/>
    <w:rsid w:val="00DA1D13"/>
    <w:rsid w:val="00DA20D7"/>
    <w:rsid w:val="00DA468C"/>
    <w:rsid w:val="00DA527C"/>
    <w:rsid w:val="00DB5887"/>
    <w:rsid w:val="00DC0A2A"/>
    <w:rsid w:val="00DC459E"/>
    <w:rsid w:val="00DC60D1"/>
    <w:rsid w:val="00DF6A80"/>
    <w:rsid w:val="00E26946"/>
    <w:rsid w:val="00E3093E"/>
    <w:rsid w:val="00E4175D"/>
    <w:rsid w:val="00E468F7"/>
    <w:rsid w:val="00E75242"/>
    <w:rsid w:val="00E75E84"/>
    <w:rsid w:val="00E76554"/>
    <w:rsid w:val="00E914C9"/>
    <w:rsid w:val="00E94BBB"/>
    <w:rsid w:val="00EA0904"/>
    <w:rsid w:val="00EA29F1"/>
    <w:rsid w:val="00EA3FAA"/>
    <w:rsid w:val="00EA7103"/>
    <w:rsid w:val="00EB3A77"/>
    <w:rsid w:val="00EB5413"/>
    <w:rsid w:val="00ED2809"/>
    <w:rsid w:val="00ED46E1"/>
    <w:rsid w:val="00EE7AB2"/>
    <w:rsid w:val="00F124A1"/>
    <w:rsid w:val="00F1711B"/>
    <w:rsid w:val="00F23476"/>
    <w:rsid w:val="00F44625"/>
    <w:rsid w:val="00F44E67"/>
    <w:rsid w:val="00F466C7"/>
    <w:rsid w:val="00F5593D"/>
    <w:rsid w:val="00F6705A"/>
    <w:rsid w:val="00F86310"/>
    <w:rsid w:val="00FB0FE2"/>
    <w:rsid w:val="00FC54F1"/>
    <w:rsid w:val="00FD30FE"/>
    <w:rsid w:val="00FE5009"/>
    <w:rsid w:val="00FF26D6"/>
    <w:rsid w:val="04B760D4"/>
    <w:rsid w:val="6A722187"/>
    <w:rsid w:val="7E2A41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C904A8"/>
    <w:rPr>
      <w:color w:val="0563C1" w:themeColor="hyperlink"/>
      <w:u w:val="single"/>
    </w:rPr>
  </w:style>
  <w:style w:type="character" w:styleId="UnresolvedMention">
    <w:name w:val="Unresolved Mention"/>
    <w:basedOn w:val="DefaultParagraphFont"/>
    <w:uiPriority w:val="99"/>
    <w:semiHidden/>
    <w:unhideWhenUsed/>
    <w:rsid w:val="00C904A8"/>
    <w:rPr>
      <w:color w:val="605E5C"/>
      <w:shd w:val="clear" w:color="auto" w:fill="E1DFDD"/>
    </w:rPr>
  </w:style>
  <w:style w:type="paragraph" w:styleId="ListParagraph">
    <w:name w:val="List Paragraph"/>
    <w:basedOn w:val="Normal"/>
    <w:uiPriority w:val="34"/>
    <w:rsid w:val="00DA20D7"/>
    <w:pPr>
      <w:ind w:left="720"/>
      <w:contextualSpacing/>
    </w:pPr>
  </w:style>
  <w:style w:type="character" w:styleId="FollowedHyperlink">
    <w:name w:val="FollowedHyperlink"/>
    <w:basedOn w:val="DefaultParagraphFont"/>
    <w:uiPriority w:val="99"/>
    <w:semiHidden/>
    <w:unhideWhenUsed/>
    <w:rsid w:val="00FE5009"/>
    <w:rPr>
      <w:color w:val="954F72" w:themeColor="followedHyperlink"/>
      <w:u w:val="single"/>
    </w:rPr>
  </w:style>
  <w:style w:type="paragraph" w:styleId="Revision">
    <w:name w:val="Revision"/>
    <w:hidden/>
    <w:uiPriority w:val="99"/>
    <w:semiHidden/>
    <w:rsid w:val="00DA1D13"/>
    <w:rPr>
      <w:color w:val="324043" w:themeColor="background2" w:themeShade="40"/>
    </w:rPr>
  </w:style>
  <w:style w:type="character" w:styleId="CommentReference">
    <w:name w:val="annotation reference"/>
    <w:basedOn w:val="DefaultParagraphFont"/>
    <w:uiPriority w:val="99"/>
    <w:semiHidden/>
    <w:unhideWhenUsed/>
    <w:rsid w:val="00DA1D13"/>
    <w:rPr>
      <w:sz w:val="16"/>
      <w:szCs w:val="16"/>
    </w:rPr>
  </w:style>
  <w:style w:type="paragraph" w:styleId="CommentText">
    <w:name w:val="annotation text"/>
    <w:basedOn w:val="Normal"/>
    <w:link w:val="CommentTextChar"/>
    <w:uiPriority w:val="99"/>
    <w:unhideWhenUsed/>
    <w:rsid w:val="00DA1D13"/>
    <w:rPr>
      <w:sz w:val="20"/>
      <w:szCs w:val="20"/>
    </w:rPr>
  </w:style>
  <w:style w:type="character" w:customStyle="1" w:styleId="CommentTextChar">
    <w:name w:val="Comment Text Char"/>
    <w:basedOn w:val="DefaultParagraphFont"/>
    <w:link w:val="CommentText"/>
    <w:uiPriority w:val="99"/>
    <w:rsid w:val="00DA1D13"/>
    <w:rPr>
      <w:color w:val="324043"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DA1D13"/>
    <w:rPr>
      <w:b/>
      <w:bCs/>
    </w:rPr>
  </w:style>
  <w:style w:type="character" w:customStyle="1" w:styleId="CommentSubjectChar">
    <w:name w:val="Comment Subject Char"/>
    <w:basedOn w:val="CommentTextChar"/>
    <w:link w:val="CommentSubject"/>
    <w:uiPriority w:val="99"/>
    <w:semiHidden/>
    <w:rsid w:val="00DA1D13"/>
    <w:rPr>
      <w:b/>
      <w:bCs/>
      <w:color w:val="324043" w:themeColor="background2" w:themeShade="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927347497">
      <w:bodyDiv w:val="1"/>
      <w:marLeft w:val="0"/>
      <w:marRight w:val="0"/>
      <w:marTop w:val="0"/>
      <w:marBottom w:val="0"/>
      <w:divBdr>
        <w:top w:val="none" w:sz="0" w:space="0" w:color="auto"/>
        <w:left w:val="none" w:sz="0" w:space="0" w:color="auto"/>
        <w:bottom w:val="none" w:sz="0" w:space="0" w:color="auto"/>
        <w:right w:val="none" w:sz="0" w:space="0" w:color="auto"/>
      </w:divBdr>
    </w:div>
    <w:div w:id="1649894839">
      <w:bodyDiv w:val="1"/>
      <w:marLeft w:val="0"/>
      <w:marRight w:val="0"/>
      <w:marTop w:val="0"/>
      <w:marBottom w:val="0"/>
      <w:divBdr>
        <w:top w:val="none" w:sz="0" w:space="0" w:color="auto"/>
        <w:left w:val="none" w:sz="0" w:space="0" w:color="auto"/>
        <w:bottom w:val="none" w:sz="0" w:space="0" w:color="auto"/>
        <w:right w:val="none" w:sz="0" w:space="0" w:color="auto"/>
      </w:divBdr>
    </w:div>
    <w:div w:id="1896430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hub.nhs.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hub.nhs.uk/catalogue/medsinsocialcare?nodeId=5594" TargetMode="External"/><Relationship Id="rId5" Type="http://schemas.openxmlformats.org/officeDocument/2006/relationships/numbering" Target="numbering.xml"/><Relationship Id="rId15" Type="http://schemas.openxmlformats.org/officeDocument/2006/relationships/hyperlink" Target="https://support.learninghub.nhs.uk/support/ho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cdreporting.co.uk%2Fnhs%2Flatest%2Fpublic%2Fuploads%2FHow_to_use_NHS_Learning_Hub_v1.0.pdf&amp;data=05%7C02%7Ckatherine.oloughlin%40nhs.net%7Cac44ab29d1294008db4208dce1410099%7C37c354b285b047f5b22207b48d774ee3%7C0%7C0%7C638632916501881124%7CUnknown%7CTWFpbGZsb3d8eyJWIjoiMC4wLjAwMDAiLCJQIjoiV2luMzIiLCJBTiI6Ik1haWwiLCJXVCI6Mn0%3D%7C0%7C%7C%7C&amp;sdata=UWiyMpU5c4DubiANps%2FmkqH%2BIVknqY0P46qlWj2aBeg%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C1D223B42884AA6795CDC638E41B3" ma:contentTypeVersion="12" ma:contentTypeDescription="Create a new document." ma:contentTypeScope="" ma:versionID="88933037f786f0db6c2f977b4f16528f">
  <xsd:schema xmlns:xsd="http://www.w3.org/2001/XMLSchema" xmlns:xs="http://www.w3.org/2001/XMLSchema" xmlns:p="http://schemas.microsoft.com/office/2006/metadata/properties" xmlns:ns2="dc9520e7-8fbe-4e44-8280-7196dc0f341b" xmlns:ns3="428f0469-a703-48e6-aa9a-8a335d8e1302" targetNamespace="http://schemas.microsoft.com/office/2006/metadata/properties" ma:root="true" ma:fieldsID="90d3ff04266b6881a007154385f5e9f7" ns2:_="" ns3:_="">
    <xsd:import namespace="dc9520e7-8fbe-4e44-8280-7196dc0f341b"/>
    <xsd:import namespace="428f0469-a703-48e6-aa9a-8a335d8e1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520e7-8fbe-4e44-8280-7196dc0f3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8f0469-a703-48e6-aa9a-8a335d8e13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540F-5BAF-44A5-8E00-0B7941E7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520e7-8fbe-4e44-8280-7196dc0f341b"/>
    <ds:schemaRef ds:uri="428f0469-a703-48e6-aa9a-8a335d8e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0</DocSecurity>
  <Lines>19</Lines>
  <Paragraphs>5</Paragraphs>
  <ScaleCrop>false</ScaleCrop>
  <Company>Health Education England</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Pete Dimitrijevic</cp:lastModifiedBy>
  <cp:revision>1</cp:revision>
  <cp:lastPrinted>2021-01-11T11:40:00Z</cp:lastPrinted>
  <dcterms:created xsi:type="dcterms:W3CDTF">2025-05-22T08:58:00Z</dcterms:created>
  <dcterms:modified xsi:type="dcterms:W3CDTF">2025-05-22T08:58:00Z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0x010100F64C1D223B42884AA6795CDC638E41B3</vt:lpwstr>
  </property>
</Properties>
</file>